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2CC3">
      <w:pPr>
        <w:widowControl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</w:rPr>
        <w:t>根据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4"/>
        </w:rPr>
        <w:t>2020 版《药物临床试验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</w:rPr>
        <w:t>质量管理规范》的要求，对SUSAR、SAE和DSUR的报告进行说明：</w:t>
      </w:r>
    </w:p>
    <w:p w14:paraId="7A101BF0">
      <w:pPr>
        <w:widowControl/>
        <w:numPr>
          <w:ilvl w:val="0"/>
          <w:numId w:val="1"/>
        </w:numPr>
        <w:ind w:firstLine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SUSAR的递交</w:t>
      </w:r>
    </w:p>
    <w:p w14:paraId="3877D3E1">
      <w:pPr>
        <w:widowControl/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>本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说明</w:t>
      </w:r>
      <w:r>
        <w:rPr>
          <w:rFonts w:ascii="微软雅黑" w:hAnsi="微软雅黑" w:eastAsia="微软雅黑" w:cs="微软雅黑"/>
          <w:color w:val="000000"/>
          <w:kern w:val="0"/>
          <w:sz w:val="24"/>
        </w:rPr>
        <w:t>所述 SUSAR 报告递交均指个例 SUSAR 报告。</w:t>
      </w:r>
    </w:p>
    <w:p w14:paraId="1CE12177">
      <w:pPr>
        <w:widowControl/>
        <w:numPr>
          <w:ilvl w:val="0"/>
          <w:numId w:val="2"/>
        </w:numPr>
        <w:jc w:val="left"/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 xml:space="preserve">应当遵循 7 天和 15 天的快速报告要求，即： </w:t>
      </w:r>
    </w:p>
    <w:p w14:paraId="40C30221">
      <w:pPr>
        <w:widowControl/>
        <w:numPr>
          <w:ilvl w:val="0"/>
          <w:numId w:val="3"/>
        </w:numPr>
        <w:jc w:val="left"/>
        <w:rPr>
          <w:rFonts w:eastAsia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对于致死或危及生命的非预期严重不良反应，申办者应在首次获知后尽快报告，但不得超过 7 天，并在随后的 8 天内报告、完善随访信息。（申办者首次获知当天为第 0 天）。</w:t>
      </w:r>
    </w:p>
    <w:p w14:paraId="36486817">
      <w:pPr>
        <w:widowControl/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对于非致死或危及生命的非预期严重不良反应，申办者应在首次获知后尽快报告，但不得超过 15 天。</w:t>
      </w:r>
    </w:p>
    <w:p w14:paraId="2FAB8A8E">
      <w:pPr>
        <w:widowControl/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格式</w:t>
      </w:r>
    </w:p>
    <w:p w14:paraId="060E2157">
      <w:pPr>
        <w:widowControl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>SUSAR 报告的递交应采用标准化、结构化的信息，如 SAE/SUSAR 报告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表,可以 PDF 附件形式发送报告全文，便于阅读（邮箱ydsyllb_888@163.com）。</w:t>
      </w:r>
    </w:p>
    <w:p w14:paraId="2054DE70">
      <w:pPr>
        <w:widowControl/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>SUSAR 中的死亡事件报告，除符合 SUSAR 的一般要求外，研究者还应当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向伦理委员会提供其他所需要资料，如尸检报告和最终医学报告。</w:t>
      </w:r>
    </w:p>
    <w:p w14:paraId="377E249B">
      <w:pPr>
        <w:widowControl/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区分本中心与非本中心报告 </w:t>
      </w:r>
    </w:p>
    <w:p w14:paraId="62C40504"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>伦理委员会在实际审查中，根据情况决定审查方式：针对本中心的 SUSAR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报告，重点关注受试者安全与后续处理、相关性判断。请报告本身注明或是递交信中注明。本中心的</w:t>
      </w:r>
      <w:r>
        <w:rPr>
          <w:rFonts w:ascii="微软雅黑" w:hAnsi="微软雅黑" w:eastAsia="微软雅黑" w:cs="微软雅黑"/>
          <w:color w:val="000000"/>
          <w:kern w:val="0"/>
          <w:sz w:val="24"/>
        </w:rPr>
        <w:t>SUSAR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请按照</w:t>
      </w:r>
      <w:r>
        <w:rPr>
          <w:rFonts w:ascii="微软雅黑" w:hAnsi="微软雅黑" w:eastAsia="微软雅黑" w:cs="微软雅黑"/>
          <w:color w:val="000000"/>
          <w:kern w:val="0"/>
          <w:sz w:val="24"/>
        </w:rPr>
        <w:t xml:space="preserve"> 7 天和 15 天的快速报告要求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进行纸质递交，附带SAE申请表；</w:t>
      </w:r>
      <w:bookmarkStart w:id="0" w:name="_GoBack"/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非本中心的</w:t>
      </w:r>
      <w:r>
        <w:rPr>
          <w:rFonts w:ascii="微软雅黑" w:hAnsi="微软雅黑" w:eastAsia="微软雅黑" w:cs="微软雅黑"/>
          <w:color w:val="000000"/>
          <w:kern w:val="0"/>
          <w:sz w:val="24"/>
        </w:rPr>
        <w:t>SUSAR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按季度进行递交备案。</w:t>
      </w:r>
      <w:bookmarkEnd w:id="0"/>
    </w:p>
    <w:p w14:paraId="0CCB33A6">
      <w:pPr>
        <w:widowControl/>
        <w:numPr>
          <w:ilvl w:val="0"/>
          <w:numId w:val="1"/>
        </w:numPr>
        <w:ind w:firstLine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严重不良事件(SAE)报告(本中心)</w:t>
      </w:r>
    </w:p>
    <w:p w14:paraId="0E2036E5">
      <w:pPr>
        <w:widowControl/>
        <w:numPr>
          <w:ilvl w:val="0"/>
          <w:numId w:val="4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>向申办者报告：</w:t>
      </w:r>
    </w:p>
    <w:p w14:paraId="7156EF66"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>研究者在获知本中心 SAE 后应在24小时内向申办者报告，除试验方案或者其他文件(如研究者手册)中规定不需立即报告的SAE外。</w:t>
      </w:r>
    </w:p>
    <w:p w14:paraId="6CB05C54">
      <w:pPr>
        <w:widowControl/>
        <w:numPr>
          <w:ilvl w:val="0"/>
          <w:numId w:val="4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>向伦理委员会报告：</w:t>
      </w:r>
    </w:p>
    <w:p w14:paraId="0652124F"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>研究者认为需立即向伦理委员会报告的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、</w:t>
      </w:r>
      <w:r>
        <w:rPr>
          <w:rFonts w:ascii="微软雅黑" w:hAnsi="微软雅黑" w:eastAsia="微软雅黑" w:cs="微软雅黑"/>
          <w:color w:val="000000"/>
          <w:kern w:val="0"/>
          <w:sz w:val="24"/>
        </w:rPr>
        <w:t>或根据临床试验方案需立即向伦理委员会报告的SAE, 需在获知后24小时内上报。鉴于肿瘤临床研究，本中心SAE报告的一般要求为：研究者上报申办者SAE的同时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需上报</w:t>
      </w:r>
      <w:r>
        <w:rPr>
          <w:rFonts w:ascii="微软雅黑" w:hAnsi="微软雅黑" w:eastAsia="微软雅黑" w:cs="微软雅黑"/>
          <w:color w:val="000000"/>
          <w:kern w:val="0"/>
          <w:sz w:val="24"/>
        </w:rPr>
        <w:t>伦理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，</w:t>
      </w:r>
      <w:r>
        <w:rPr>
          <w:rFonts w:ascii="微软雅黑" w:hAnsi="微软雅黑" w:eastAsia="微软雅黑" w:cs="微软雅黑"/>
          <w:color w:val="000000"/>
          <w:kern w:val="0"/>
          <w:sz w:val="24"/>
        </w:rPr>
        <w:t>填写“严重不良事件审查申请表”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，并附</w:t>
      </w:r>
      <w:r>
        <w:rPr>
          <w:rFonts w:ascii="微软雅黑" w:hAnsi="微软雅黑" w:eastAsia="微软雅黑" w:cs="微软雅黑"/>
          <w:color w:val="000000"/>
          <w:kern w:val="0"/>
          <w:sz w:val="24"/>
        </w:rPr>
        <w:t>报告给申办者的SAE报告(独立文件，可使用申办者模版，命名为：附件-申办者SAE报告)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。</w:t>
      </w:r>
    </w:p>
    <w:p w14:paraId="79AC03CA">
      <w:pPr>
        <w:widowControl/>
        <w:numPr>
          <w:ilvl w:val="0"/>
          <w:numId w:val="4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>伦理审查方式与决定传达：</w:t>
      </w:r>
    </w:p>
    <w:p w14:paraId="79D4F494"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>会审：本中心发生的严重危及生命或者死亡的非预期严重不良事件；委员审阅认为严重危及受试者安全需要上会讨论的安全性事件。</w:t>
      </w:r>
    </w:p>
    <w:p w14:paraId="61DA3D28"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>快审：其他SAE。</w:t>
      </w:r>
    </w:p>
    <w:p w14:paraId="7B013089">
      <w:pPr>
        <w:widowControl/>
        <w:numPr>
          <w:ilvl w:val="0"/>
          <w:numId w:val="1"/>
        </w:numPr>
        <w:ind w:firstLine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申办者递交 DSUR</w:t>
      </w:r>
    </w:p>
    <w:p w14:paraId="373D5FB6">
      <w:pPr>
        <w:widowControl/>
        <w:jc w:val="left"/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 xml:space="preserve">按照 2020 版 GCP 要求，作为阶段性的安全性汇总，申办者需要将 DSUR </w:t>
      </w:r>
    </w:p>
    <w:p w14:paraId="1ED9417A"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有关信息通报给伦理委员会。</w:t>
      </w:r>
    </w:p>
    <w:p w14:paraId="1A0BACAA">
      <w:pPr>
        <w:widowControl/>
        <w:numPr>
          <w:ilvl w:val="0"/>
          <w:numId w:val="5"/>
        </w:numPr>
        <w:jc w:val="left"/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 xml:space="preserve">要求申办者在递交时提供完整的 DSUR 信息。 </w:t>
      </w:r>
    </w:p>
    <w:p w14:paraId="5C93CE41">
      <w:pPr>
        <w:widowControl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具体但不限于以下： </w:t>
      </w:r>
    </w:p>
    <w:p w14:paraId="0C092195">
      <w:pPr>
        <w:widowControl/>
        <w:numPr>
          <w:ilvl w:val="0"/>
          <w:numId w:val="6"/>
        </w:numPr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前言，包括报告周期和报告序列号 </w:t>
      </w:r>
    </w:p>
    <w:p w14:paraId="3CC3DD17">
      <w:pPr>
        <w:widowControl/>
        <w:numPr>
          <w:ilvl w:val="0"/>
          <w:numId w:val="6"/>
        </w:numPr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研究药物—作用机理、治疗分类、适应症、剂量、给药途径、剂型 </w:t>
      </w:r>
    </w:p>
    <w:p w14:paraId="17C12EDC">
      <w:pPr>
        <w:widowControl/>
        <w:numPr>
          <w:ilvl w:val="0"/>
          <w:numId w:val="6"/>
        </w:numPr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研究的适应症和人群 </w:t>
      </w:r>
    </w:p>
    <w:p w14:paraId="2FB53916">
      <w:pPr>
        <w:widowControl/>
        <w:numPr>
          <w:ilvl w:val="0"/>
          <w:numId w:val="6"/>
        </w:numPr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临床试验的涵盖范围 </w:t>
      </w:r>
    </w:p>
    <w:p w14:paraId="095C87B4">
      <w:pPr>
        <w:widowControl/>
        <w:numPr>
          <w:ilvl w:val="0"/>
          <w:numId w:val="6"/>
        </w:numPr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简要说明并解释 DSUR 中未包含的信息，对单个研究药物递交多个 DSUR的理由（如适用） </w:t>
      </w:r>
    </w:p>
    <w:p w14:paraId="4EA7DA82">
      <w:pPr>
        <w:widowControl/>
        <w:numPr>
          <w:ilvl w:val="0"/>
          <w:numId w:val="6"/>
        </w:numPr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受试者累计暴露的预估 </w:t>
      </w:r>
    </w:p>
    <w:p w14:paraId="1C60BAEF">
      <w:pPr>
        <w:widowControl/>
        <w:numPr>
          <w:ilvl w:val="0"/>
          <w:numId w:val="6"/>
        </w:numPr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上市状态（全球范围内） </w:t>
      </w:r>
    </w:p>
    <w:p w14:paraId="0E39892D">
      <w:pPr>
        <w:widowControl/>
        <w:numPr>
          <w:ilvl w:val="0"/>
          <w:numId w:val="6"/>
        </w:numPr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整体安全性评估的摘要 </w:t>
      </w:r>
    </w:p>
    <w:p w14:paraId="22AF4CEB">
      <w:pPr>
        <w:widowControl/>
        <w:numPr>
          <w:ilvl w:val="0"/>
          <w:numId w:val="6"/>
        </w:numPr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重要风险的摘要 </w:t>
      </w:r>
    </w:p>
    <w:p w14:paraId="23FD41C2">
      <w:pPr>
        <w:widowControl/>
        <w:numPr>
          <w:ilvl w:val="0"/>
          <w:numId w:val="6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包括研究者手册重大改动在内的出于安全性考虑而采取的行动 </w:t>
      </w:r>
    </w:p>
    <w:p w14:paraId="57B4C033">
      <w:pPr>
        <w:widowControl/>
        <w:numPr>
          <w:ilvl w:val="0"/>
          <w:numId w:val="5"/>
        </w:numPr>
        <w:jc w:val="left"/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t xml:space="preserve">参照 ICH-E2F 及 CDE 即将发布的《研发期间安全性更新报告要求及 </w:t>
      </w:r>
    </w:p>
    <w:p w14:paraId="3FBE665D"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管理规定》进行年度报告递交，原则上报告周期不超过一年。</w:t>
      </w:r>
    </w:p>
    <w:p w14:paraId="63EEF150"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369BC"/>
    <w:multiLevelType w:val="singleLevel"/>
    <w:tmpl w:val="913369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4D499DB"/>
    <w:multiLevelType w:val="singleLevel"/>
    <w:tmpl w:val="F4D499D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3E0ED8E"/>
    <w:multiLevelType w:val="singleLevel"/>
    <w:tmpl w:val="33E0ED8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3A2F84F7"/>
    <w:multiLevelType w:val="singleLevel"/>
    <w:tmpl w:val="3A2F84F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0D73723"/>
    <w:multiLevelType w:val="singleLevel"/>
    <w:tmpl w:val="50D7372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B8A45FF"/>
    <w:multiLevelType w:val="singleLevel"/>
    <w:tmpl w:val="5B8A45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zMTk5MjQzMzIxOTBmM2YyNzMwNmVkODdjYjEzZGMifQ=="/>
  </w:docVars>
  <w:rsids>
    <w:rsidRoot w:val="009F281F"/>
    <w:rsid w:val="002A44E3"/>
    <w:rsid w:val="003804BE"/>
    <w:rsid w:val="006033EB"/>
    <w:rsid w:val="00660971"/>
    <w:rsid w:val="00706701"/>
    <w:rsid w:val="00911FB8"/>
    <w:rsid w:val="009F281F"/>
    <w:rsid w:val="00B532CC"/>
    <w:rsid w:val="00B96954"/>
    <w:rsid w:val="00E63721"/>
    <w:rsid w:val="00F1350D"/>
    <w:rsid w:val="04BE498F"/>
    <w:rsid w:val="060417ED"/>
    <w:rsid w:val="11A7629B"/>
    <w:rsid w:val="189334B8"/>
    <w:rsid w:val="18D86429"/>
    <w:rsid w:val="1C500E7D"/>
    <w:rsid w:val="1CF831E7"/>
    <w:rsid w:val="1E917274"/>
    <w:rsid w:val="21C422DC"/>
    <w:rsid w:val="2F751D7F"/>
    <w:rsid w:val="30995428"/>
    <w:rsid w:val="325C41C3"/>
    <w:rsid w:val="35246603"/>
    <w:rsid w:val="41962B9A"/>
    <w:rsid w:val="4B3B3713"/>
    <w:rsid w:val="4C7F57A7"/>
    <w:rsid w:val="4C946291"/>
    <w:rsid w:val="54041464"/>
    <w:rsid w:val="5ECD1531"/>
    <w:rsid w:val="62485095"/>
    <w:rsid w:val="62BC46A7"/>
    <w:rsid w:val="70C83ECD"/>
    <w:rsid w:val="7BAA1674"/>
    <w:rsid w:val="7EA4173A"/>
    <w:rsid w:val="7F2833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1172</Characters>
  <Lines>9</Lines>
  <Paragraphs>2</Paragraphs>
  <TotalTime>9</TotalTime>
  <ScaleCrop>false</ScaleCrop>
  <LinksUpToDate>false</LinksUpToDate>
  <CharactersWithSpaces>1236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2020-06-28T07:43:00Z</dcterms:created>
  <dc:creator>lenovo</dc:creator>
  <cp:lastModifiedBy>东</cp:lastModifiedBy>
  <dcterms:modified xsi:type="dcterms:W3CDTF">2024-10-18T11:12:34Z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2D84FDE15BFC467A977906A05742FF29</vt:lpwstr>
  </property>
</Properties>
</file>