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根据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</w:rPr>
        <w:t>2020 版《药物临床试验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质量管理规范》的要求，对SUSAR和DSUR的报告进行说明：</w:t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SUSAR的递交</w:t>
      </w:r>
      <w:bookmarkStart w:id="0" w:name="_GoBack"/>
      <w:bookmarkEnd w:id="0"/>
    </w:p>
    <w:p>
      <w:pPr>
        <w:widowControl/>
        <w:numPr>
          <w:ilvl w:val="0"/>
          <w:numId w:val="2"/>
        </w:numPr>
        <w:ind w:left="425" w:leftChars="0" w:hanging="425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>本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说明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所述 SUSAR 报告递交均指个例 SUSAR 报告。</w:t>
      </w:r>
    </w:p>
    <w:p>
      <w:pPr>
        <w:widowControl/>
        <w:numPr>
          <w:ilvl w:val="0"/>
          <w:numId w:val="2"/>
        </w:numPr>
        <w:ind w:left="425" w:leftChars="0" w:hanging="425" w:firstLineChars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应当遵循 7 天和 15 天的快速报告要求，即： </w:t>
      </w:r>
    </w:p>
    <w:p>
      <w:pPr>
        <w:widowControl/>
        <w:numPr>
          <w:ilvl w:val="0"/>
          <w:numId w:val="3"/>
        </w:numPr>
        <w:ind w:left="425" w:leftChars="0" w:hanging="425" w:firstLineChars="0"/>
        <w:jc w:val="left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对于致死或危及生命的非预期严重不良反应，申办者应在首次获知后尽快报告，但不得超过 7 天，并在随后的 8 天内报告、完善随访信息。（申办者首次获知当天为第 0 天）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3"/>
        </w:numPr>
        <w:ind w:left="425" w:leftChars="0" w:hanging="425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对于非致死或危及生命的非预期严重不良反应，申办者应在首次获知后尽快报告，但不得超过 15 天。</w:t>
      </w:r>
    </w:p>
    <w:p>
      <w:pPr>
        <w:widowControl/>
        <w:numPr>
          <w:ilvl w:val="0"/>
          <w:numId w:val="2"/>
        </w:numPr>
        <w:ind w:left="425" w:leftChars="0" w:hanging="425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格式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>SUSAR 报告的递交应采用标准化、结构化的信息，如 SAE/SUSAR 报告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可以 PDF 附件形式发送报告全文，便于阅读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邮箱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yds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yllb_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888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@163.com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ind w:left="425" w:leftChars="0" w:hanging="425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>SUSAR 中的死亡事件报告，除符合 SUSAR 的一般要求外，研究者还应当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向伦理委员会提供其他所需要资料，如尸检报告和最终医学报告。</w:t>
      </w:r>
    </w:p>
    <w:p>
      <w:pPr>
        <w:widowControl/>
        <w:numPr>
          <w:ilvl w:val="0"/>
          <w:numId w:val="2"/>
        </w:numPr>
        <w:ind w:left="425" w:leftChars="0" w:hanging="425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区分本中心与非本中心报告 </w:t>
      </w:r>
    </w:p>
    <w:p>
      <w:pPr>
        <w:widowControl/>
        <w:jc w:val="left"/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>伦理委员会在实际审查中，根据情况决定审查方式：针对本中心的 SUSAR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报告，重点关注受试者安全与后续处理、相关性判断；而针对非本中心报告， 重点关注试验药品风险获益的整体趋势。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报告本身注明或是递交信中注明。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本中心的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SUSAR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请按照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 7 天和 15 天的快速报告要求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进行纸质递交，附带SAE申请表；非本中心的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SUSAR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按季度进行递交。</w:t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申办者递交 DSUR</w:t>
      </w:r>
    </w:p>
    <w:p>
      <w:pPr>
        <w:widowControl/>
        <w:jc w:val="left"/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按照 2020 版 GCP 要求，作为阶段性的安全性汇总，申办者需要将 DSUR 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有关信息通报给伦理委员会。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要求申办者在递交时提供完整的 DSUR 信息。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具体但不限于以下：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前言，包括报告周期和报告序列号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研究药物—作用机理、治疗分类、适应症、剂量、给药途径、剂型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研究的适应症和人群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临床试验的涵盖范围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简要说明并解释 DSUR 中未包含的信息，对单个研究药物递交多个 DSUR的理由（如适用）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受试者累计暴露的预估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上市状态（全球范围内）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整体安全性评估的摘要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重要风险的摘要 </w:t>
      </w:r>
    </w:p>
    <w:p>
      <w:pPr>
        <w:widowControl/>
        <w:numPr>
          <w:ilvl w:val="0"/>
          <w:numId w:val="5"/>
        </w:numPr>
        <w:ind w:left="420" w:leftChars="0" w:hanging="420" w:firstLineChars="0"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包括研究者手册重大改动在内的出于安全性考虑而采取的行动 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参照 ICH-E2F 及 CDE 即将发布的《研发期间安全性更新报告要求及 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管理规定》进行年度报告递交，原则上报告周期不超过一年。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369BC"/>
    <w:multiLevelType w:val="singleLevel"/>
    <w:tmpl w:val="913369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4D499DB"/>
    <w:multiLevelType w:val="singleLevel"/>
    <w:tmpl w:val="F4D499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3E0ED8E"/>
    <w:multiLevelType w:val="singleLevel"/>
    <w:tmpl w:val="33E0ED8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3A2F84F7"/>
    <w:multiLevelType w:val="singleLevel"/>
    <w:tmpl w:val="3A2F84F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B8A45FF"/>
    <w:multiLevelType w:val="singleLevel"/>
    <w:tmpl w:val="5B8A45F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M1ZjMwNGY2ZjYzOTk2NmM5Y2QyYTNiNWY5NDEzNzIifQ=="/>
  </w:docVars>
  <w:rsids>
    <w:rsidRoot w:val="009F281F"/>
    <w:rsid w:val="006033EB"/>
    <w:rsid w:val="00660971"/>
    <w:rsid w:val="00706701"/>
    <w:rsid w:val="009F281F"/>
    <w:rsid w:val="00B532CC"/>
    <w:rsid w:val="00B96954"/>
    <w:rsid w:val="00E63721"/>
    <w:rsid w:val="00F1350D"/>
    <w:rsid w:val="04BE498F"/>
    <w:rsid w:val="060417ED"/>
    <w:rsid w:val="11A7629B"/>
    <w:rsid w:val="189334B8"/>
    <w:rsid w:val="1C500E7D"/>
    <w:rsid w:val="1E917274"/>
    <w:rsid w:val="21C422DC"/>
    <w:rsid w:val="2F751D7F"/>
    <w:rsid w:val="325C41C3"/>
    <w:rsid w:val="41962B9A"/>
    <w:rsid w:val="4B3B3713"/>
    <w:rsid w:val="4C7F57A7"/>
    <w:rsid w:val="4C946291"/>
    <w:rsid w:val="54041464"/>
    <w:rsid w:val="5ECD1531"/>
    <w:rsid w:val="62485095"/>
    <w:rsid w:val="62BC46A7"/>
    <w:rsid w:val="7BAA1674"/>
    <w:rsid w:val="7EA4173A"/>
    <w:rsid w:val="7F283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750</Words>
  <Characters>857</Characters>
  <Lines>24</Lines>
  <Paragraphs>6</Paragraphs>
  <TotalTime>18</TotalTime>
  <ScaleCrop>false</ScaleCrop>
  <LinksUpToDate>false</LinksUpToDate>
  <CharactersWithSpaces>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2020-06-28T07:43:00Z</dcterms:created>
  <dc:creator>lenovo</dc:creator>
  <cp:lastModifiedBy>面对面</cp:lastModifiedBy>
  <dcterms:modified xsi:type="dcterms:W3CDTF">2023-03-30T03:34:17Z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2D84FDE15BFC467A977906A05742FF29</vt:lpwstr>
  </property>
</Properties>
</file>